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A6" w:rsidRPr="00A63EA6" w:rsidRDefault="00A63EA6" w:rsidP="00A63EA6">
      <w:pPr>
        <w:shd w:val="clear" w:color="auto" w:fill="FFFFFF"/>
        <w:spacing w:after="30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A63EA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Индивидуальные предприниматели вправе использовать следующие специальные режимы налогообложения.</w:t>
      </w:r>
    </w:p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736"/>
        <w:gridCol w:w="3061"/>
        <w:gridCol w:w="2498"/>
        <w:gridCol w:w="2403"/>
      </w:tblGrid>
      <w:tr w:rsidR="00A63EA6" w:rsidRPr="00A63EA6" w:rsidTr="00A63EA6">
        <w:trPr>
          <w:trHeight w:val="6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300" w:line="240" w:lineRule="auto"/>
              <w:jc w:val="center"/>
              <w:outlineLvl w:val="4"/>
              <w:rPr>
                <w:rFonts w:ascii="Conv_PFDINTEXTCONDPRO-MEDIUM" w:eastAsia="Times New Roman" w:hAnsi="Conv_PFDINTEXTCONDPRO-MEDIUM" w:cs="Times New Roman"/>
                <w:sz w:val="34"/>
                <w:szCs w:val="34"/>
                <w:lang w:eastAsia="ru-RU"/>
              </w:rPr>
            </w:pPr>
            <w:r w:rsidRPr="00A63EA6">
              <w:rPr>
                <w:rFonts w:ascii="Conv_PFDINTEXTCONDPRO-MEDIUM" w:eastAsia="Times New Roman" w:hAnsi="Conv_PFDINTEXTCONDPRO-MEDIUM" w:cs="Times New Roman"/>
                <w:sz w:val="34"/>
                <w:szCs w:val="34"/>
                <w:lang w:eastAsia="ru-RU"/>
              </w:rPr>
              <w:t>ЕНВД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300" w:line="240" w:lineRule="auto"/>
              <w:jc w:val="center"/>
              <w:outlineLvl w:val="4"/>
              <w:rPr>
                <w:rFonts w:ascii="Conv_PFDINTEXTCONDPRO-MEDIUM" w:eastAsia="Times New Roman" w:hAnsi="Conv_PFDINTEXTCONDPRO-MEDIUM" w:cs="Times New Roman"/>
                <w:sz w:val="34"/>
                <w:szCs w:val="34"/>
                <w:lang w:eastAsia="ru-RU"/>
              </w:rPr>
            </w:pPr>
            <w:r w:rsidRPr="00A63EA6">
              <w:rPr>
                <w:rFonts w:ascii="Conv_PFDINTEXTCONDPRO-MEDIUM" w:eastAsia="Times New Roman" w:hAnsi="Conv_PFDINTEXTCONDPRO-MEDIUM" w:cs="Times New Roman"/>
                <w:sz w:val="34"/>
                <w:szCs w:val="34"/>
                <w:lang w:eastAsia="ru-RU"/>
              </w:rPr>
              <w:t>УСН (доходы)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300" w:line="240" w:lineRule="auto"/>
              <w:jc w:val="center"/>
              <w:outlineLvl w:val="4"/>
              <w:rPr>
                <w:rFonts w:ascii="Conv_PFDINTEXTCONDPRO-MEDIUM" w:eastAsia="Times New Roman" w:hAnsi="Conv_PFDINTEXTCONDPRO-MEDIUM" w:cs="Times New Roman"/>
                <w:sz w:val="34"/>
                <w:szCs w:val="34"/>
                <w:lang w:eastAsia="ru-RU"/>
              </w:rPr>
            </w:pPr>
            <w:r w:rsidRPr="00A63EA6">
              <w:rPr>
                <w:rFonts w:ascii="Conv_PFDINTEXTCONDPRO-MEDIUM" w:eastAsia="Times New Roman" w:hAnsi="Conv_PFDINTEXTCONDPRO-MEDIUM" w:cs="Times New Roman"/>
                <w:sz w:val="34"/>
                <w:szCs w:val="34"/>
                <w:lang w:eastAsia="ru-RU"/>
              </w:rPr>
              <w:t>УСН ("доходы минус расходы")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300" w:line="240" w:lineRule="auto"/>
              <w:jc w:val="center"/>
              <w:outlineLvl w:val="4"/>
              <w:rPr>
                <w:rFonts w:ascii="Conv_PFDINTEXTCONDPRO-MEDIUM" w:eastAsia="Times New Roman" w:hAnsi="Conv_PFDINTEXTCONDPRO-MEDIUM" w:cs="Times New Roman"/>
                <w:sz w:val="34"/>
                <w:szCs w:val="34"/>
                <w:lang w:eastAsia="ru-RU"/>
              </w:rPr>
            </w:pPr>
            <w:r w:rsidRPr="00A63EA6">
              <w:rPr>
                <w:rFonts w:ascii="Conv_PFDINTEXTCONDPRO-MEDIUM" w:eastAsia="Times New Roman" w:hAnsi="Conv_PFDINTEXTCONDPRO-MEDIUM" w:cs="Times New Roman"/>
                <w:sz w:val="34"/>
                <w:szCs w:val="34"/>
                <w:lang w:eastAsia="ru-RU"/>
              </w:rPr>
              <w:t>ПСН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300" w:line="240" w:lineRule="auto"/>
              <w:jc w:val="center"/>
              <w:outlineLvl w:val="4"/>
              <w:rPr>
                <w:rFonts w:ascii="Conv_PFDINTEXTCONDPRO-MEDIUM" w:eastAsia="Times New Roman" w:hAnsi="Conv_PFDINTEXTCONDPRO-MEDIUM" w:cs="Times New Roman"/>
                <w:sz w:val="34"/>
                <w:szCs w:val="34"/>
                <w:lang w:eastAsia="ru-RU"/>
              </w:rPr>
            </w:pPr>
            <w:r w:rsidRPr="00A63EA6">
              <w:rPr>
                <w:rFonts w:ascii="Conv_PFDINTEXTCONDPRO-MEDIUM" w:eastAsia="Times New Roman" w:hAnsi="Conv_PFDINTEXTCONDPRO-MEDIUM" w:cs="Times New Roman"/>
                <w:sz w:val="34"/>
                <w:szCs w:val="34"/>
                <w:lang w:eastAsia="ru-RU"/>
              </w:rPr>
              <w:t>НПД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регистрации</w:t>
            </w:r>
            <w:proofErr w:type="spellEnd"/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качестве ИП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97D7D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обязательна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ставка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FC6B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вмененного дохода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фактических доходов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FC6B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разницы между доходами и расходами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потенциально возможного дохода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97D7D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 или 6%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Налоговая база</w:t>
            </w:r>
          </w:p>
        </w:tc>
      </w:tr>
      <w:tr w:rsidR="00A63EA6" w:rsidRPr="00A63EA6" w:rsidTr="00A63EA6">
        <w:trPr>
          <w:trHeight w:val="6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вмененный доход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минус расходы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возможный доход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Отчетность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97D7D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97D7D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период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от 1 до 12 месяцев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97D7D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сдавать декларацию?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FC6B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97D7D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97D7D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надо платить налог?</w:t>
            </w:r>
          </w:p>
        </w:tc>
      </w:tr>
      <w:tr w:rsidR="00A63EA6" w:rsidRPr="00A63EA6" w:rsidTr="00A63EA6">
        <w:trPr>
          <w:trHeight w:val="6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ежеквартально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ежеквартально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срока действия патента 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ограничения</w:t>
            </w:r>
          </w:p>
        </w:tc>
      </w:tr>
      <w:tr w:rsidR="00A63EA6" w:rsidRPr="00A63EA6" w:rsidTr="00A63EA6">
        <w:trPr>
          <w:trHeight w:val="24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 более 100 работников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 видам деятельности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 более 100 работников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доход не более 150 млн. руб. в год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 более 100 работников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доход не более 150 млн. руб. в год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не более 15 работников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доход не более 60 млн. руб. в год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 видам деятельности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отсутствие наемных работников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доход не более 2,4 млн. руб. в год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 видам деятельности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ведения налогового учета</w:t>
            </w:r>
          </w:p>
        </w:tc>
      </w:tr>
      <w:tr w:rsidR="00A63EA6" w:rsidRPr="00A63EA6" w:rsidTr="00A63EA6">
        <w:trPr>
          <w:trHeight w:val="6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доходов/расходов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доходов/расходов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доходов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97D7D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3EA6" w:rsidRPr="00A63EA6" w:rsidTr="00A63EA6">
        <w:trPr>
          <w:trHeight w:val="6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уменьшения налога на страховые взносы</w:t>
            </w:r>
          </w:p>
        </w:tc>
      </w:tr>
      <w:tr w:rsidR="00A63EA6" w:rsidRPr="00A63EA6" w:rsidTr="00A63EA6">
        <w:trPr>
          <w:trHeight w:val="6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включаются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расходы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63EA6" w:rsidRPr="00A63EA6" w:rsidTr="00A63EA6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особенности</w:t>
            </w:r>
          </w:p>
        </w:tc>
      </w:tr>
      <w:tr w:rsidR="00A63EA6" w:rsidRPr="00A63EA6" w:rsidTr="00A63EA6">
        <w:trPr>
          <w:trHeight w:val="6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ставки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льготы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ставки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льготы 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ставки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льготы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ставки</w:t>
            </w: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льготы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EA6" w:rsidRPr="00A63EA6" w:rsidTr="00A63EA6">
        <w:trPr>
          <w:trHeight w:val="600"/>
        </w:trPr>
        <w:tc>
          <w:tcPr>
            <w:tcW w:w="0" w:type="auto"/>
            <w:tcBorders>
              <w:bottom w:val="single" w:sz="6" w:space="0" w:color="E6E7E8"/>
            </w:tcBorders>
            <w:shd w:val="clear" w:color="auto" w:fill="FFC6B4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63EA6" w:rsidRPr="00A63EA6" w:rsidRDefault="00A63EA6" w:rsidP="00A63EA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Отменяется с 01.01.2021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63EA6" w:rsidRPr="00A63EA6" w:rsidRDefault="00A63EA6" w:rsidP="00A6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EA6" w:rsidRPr="00A63EA6" w:rsidRDefault="00A63EA6" w:rsidP="00A63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A63EA6" w:rsidRPr="00A63EA6" w:rsidRDefault="00A63EA6" w:rsidP="00A63E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3EA6" w:rsidRPr="00A63EA6" w:rsidRDefault="00A63EA6" w:rsidP="00A63EA6">
      <w:pPr>
        <w:shd w:val="clear" w:color="auto" w:fill="FBFBFB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3E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Если Вы не выберите специальный режим налогообложения, с 1 января 2021 года Вы будете переведены на общий режим налогообложения, который подразумевает уплату нескольких налогов </w:t>
      </w:r>
    </w:p>
    <w:p w:rsidR="00A63EA6" w:rsidRPr="00A63EA6" w:rsidRDefault="00A63EA6" w:rsidP="00A63EA6">
      <w:pPr>
        <w:shd w:val="clear" w:color="auto" w:fill="FBFBFB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3E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 том числе НДФЛ, НДС, и т.д.)</w:t>
      </w:r>
    </w:p>
    <w:p w:rsidR="00126B61" w:rsidRDefault="00126B61"/>
    <w:sectPr w:rsidR="00126B61" w:rsidSect="00A63EA6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E"/>
    <w:rsid w:val="00126B61"/>
    <w:rsid w:val="00A63EA6"/>
    <w:rsid w:val="00C67D0B"/>
    <w:rsid w:val="00C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2020-11-10T04:37:00Z</dcterms:created>
  <dcterms:modified xsi:type="dcterms:W3CDTF">2020-11-10T04:37:00Z</dcterms:modified>
</cp:coreProperties>
</file>