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5151C3" w:rsidRPr="005151C3" w:rsidTr="005151C3">
        <w:trPr>
          <w:trHeight w:val="2127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sz w:val="24"/>
                <w:lang w:val="x-none"/>
              </w:rPr>
            </w:pPr>
            <w:r w:rsidRPr="005151C3">
              <w:rPr>
                <w:rFonts w:ascii="Century Bash" w:eastAsia="Times New Roman" w:hAnsi="Century Bash"/>
                <w:b/>
                <w:sz w:val="24"/>
                <w:lang w:val="x-none"/>
              </w:rPr>
              <w:t>БАШ</w:t>
            </w:r>
            <w:r w:rsidRPr="005151C3">
              <w:rPr>
                <w:rFonts w:ascii="Century Bash" w:eastAsia="Times New Roman" w:hAnsi="Century Bash"/>
                <w:b/>
                <w:sz w:val="24"/>
                <w:lang w:val="en-US"/>
              </w:rPr>
              <w:t>K</w:t>
            </w:r>
            <w:r w:rsidRPr="005151C3">
              <w:rPr>
                <w:rFonts w:ascii="Century Bash" w:eastAsia="Times New Roman" w:hAnsi="Century Bash"/>
                <w:b/>
                <w:sz w:val="24"/>
                <w:lang w:val="x-none"/>
              </w:rPr>
              <w:t>ОРТОСТАН РЕСПУБЛИКА</w:t>
            </w:r>
            <w:r w:rsidRPr="005151C3">
              <w:rPr>
                <w:rFonts w:ascii="Century Bash" w:eastAsia="Times New Roman" w:hAnsi="Century Bash"/>
                <w:b/>
                <w:sz w:val="24"/>
                <w:lang w:val="en-US"/>
              </w:rPr>
              <w:t>H</w:t>
            </w:r>
            <w:r w:rsidRPr="005151C3">
              <w:rPr>
                <w:rFonts w:ascii="Century Bash" w:eastAsia="Times New Roman" w:hAnsi="Century Bash"/>
                <w:b/>
                <w:sz w:val="24"/>
                <w:lang w:val="x-none"/>
              </w:rPr>
              <w:t>Ы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x-none"/>
              </w:rPr>
            </w:pP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Я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 xml:space="preserve">АУЫЛ  РАЙОНЫ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</w:pP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>МУНИЦИПАЛЬ РАЙОНЫНЫ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5151C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м</w:t>
            </w:r>
            <w:r w:rsidRPr="005151C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5151C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с</w:t>
            </w:r>
            <w:r w:rsidRPr="005151C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5151C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т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 xml:space="preserve"> 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 xml:space="preserve"> АУЫЛ СОВЕТЫ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</w:pP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>АУЫЛ БИЛ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>М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151C3">
              <w:rPr>
                <w:rFonts w:ascii="Century Bash" w:eastAsia="Times New Roman" w:hAnsi="Century Bash"/>
                <w:b/>
                <w:sz w:val="24"/>
                <w:lang w:val="en-US"/>
              </w:rPr>
              <w:t>H</w:t>
            </w:r>
            <w:r w:rsidRPr="005151C3">
              <w:rPr>
                <w:rFonts w:ascii="Century Bash" w:eastAsia="Times New Roman" w:hAnsi="Century Bash"/>
                <w:b/>
                <w:sz w:val="24"/>
                <w:lang w:val="x-none"/>
              </w:rPr>
              <w:t>Е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 xml:space="preserve"> 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</w:pP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>ХАКИМИ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151C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x-none"/>
              </w:rPr>
              <w:t>ТЕ</w:t>
            </w:r>
          </w:p>
          <w:p w:rsidR="005151C3" w:rsidRPr="005151C3" w:rsidRDefault="005151C3" w:rsidP="005151C3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51C3" w:rsidRPr="005151C3" w:rsidRDefault="005151C3" w:rsidP="005151C3">
            <w:pPr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D05BC" wp14:editId="6751D795">
                  <wp:extent cx="790575" cy="1095375"/>
                  <wp:effectExtent l="0" t="0" r="9525" b="9525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5151C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5151C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spacing w:val="6"/>
                <w:sz w:val="24"/>
                <w:szCs w:val="24"/>
              </w:rPr>
            </w:pPr>
            <w:r w:rsidRPr="005151C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</w:pPr>
            <w:r w:rsidRPr="005151C3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5151C3" w:rsidRPr="005151C3" w:rsidRDefault="005151C3" w:rsidP="005151C3">
            <w:pPr>
              <w:suppressAutoHyphens/>
              <w:autoSpaceDE w:val="0"/>
              <w:autoSpaceDN w:val="0"/>
              <w:spacing w:after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5151C3">
              <w:rPr>
                <w:rFonts w:ascii="Century Bash" w:eastAsia="Times New Roman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5151C3">
              <w:rPr>
                <w:rFonts w:ascii="Century Bash" w:eastAsia="Times New Roman" w:hAnsi="Century Bash"/>
                <w:sz w:val="24"/>
                <w:szCs w:val="24"/>
              </w:rPr>
              <w:t xml:space="preserve"> </w:t>
            </w:r>
            <w:r w:rsidRPr="005151C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5151C3" w:rsidRPr="005151C3" w:rsidRDefault="005151C3" w:rsidP="005151C3">
      <w:pPr>
        <w:autoSpaceDE w:val="0"/>
        <w:autoSpaceDN w:val="0"/>
        <w:spacing w:after="0" w:line="240" w:lineRule="auto"/>
        <w:rPr>
          <w:rFonts w:ascii="TimBashk" w:eastAsia="Times New Roman" w:hAnsi="TimBashk"/>
          <w:caps/>
          <w:spacing w:val="6"/>
          <w:lang w:eastAsia="ru-RU"/>
        </w:rPr>
      </w:pPr>
    </w:p>
    <w:tbl>
      <w:tblPr>
        <w:tblW w:w="5148" w:type="pct"/>
        <w:tblLook w:val="01E0" w:firstRow="1" w:lastRow="1" w:firstColumn="1" w:lastColumn="1" w:noHBand="0" w:noVBand="0"/>
      </w:tblPr>
      <w:tblGrid>
        <w:gridCol w:w="4645"/>
        <w:gridCol w:w="5209"/>
      </w:tblGrid>
      <w:tr w:rsidR="005151C3" w:rsidRPr="005151C3" w:rsidTr="0073610B">
        <w:tc>
          <w:tcPr>
            <w:tcW w:w="2289" w:type="pct"/>
          </w:tcPr>
          <w:p w:rsidR="005151C3" w:rsidRPr="005151C3" w:rsidRDefault="005151C3" w:rsidP="005151C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Century Bash" w:eastAsia="Times New Roman" w:hAnsi="Century Bash"/>
                <w:b/>
                <w:bCs/>
                <w:sz w:val="27"/>
                <w:szCs w:val="27"/>
                <w:lang w:eastAsia="ru-RU"/>
              </w:rPr>
            </w:pPr>
            <w:r w:rsidRPr="005151C3">
              <w:rPr>
                <w:rFonts w:ascii="Century Bash" w:eastAsia="Times New Roman" w:hAnsi="Century Bash"/>
                <w:b/>
                <w:bCs/>
                <w:sz w:val="27"/>
                <w:szCs w:val="27"/>
                <w:lang w:val="en-US" w:eastAsia="ru-RU"/>
              </w:rPr>
              <w:t>K</w:t>
            </w:r>
            <w:r w:rsidRPr="005151C3">
              <w:rPr>
                <w:rFonts w:ascii="Century Bash" w:eastAsia="Times New Roman" w:hAnsi="Century Bash"/>
                <w:b/>
                <w:bCs/>
                <w:sz w:val="27"/>
                <w:szCs w:val="27"/>
                <w:lang w:eastAsia="ru-RU"/>
              </w:rPr>
              <w:t>АРАР</w:t>
            </w:r>
          </w:p>
          <w:p w:rsidR="005151C3" w:rsidRPr="005151C3" w:rsidRDefault="005151C3" w:rsidP="005151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67" w:type="pct"/>
          </w:tcPr>
          <w:p w:rsidR="005151C3" w:rsidRPr="005151C3" w:rsidRDefault="005151C3" w:rsidP="005151C3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</w:pPr>
            <w:r w:rsidRPr="005151C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                             ПОСТАНОВЛЕНИЕ</w:t>
            </w:r>
          </w:p>
        </w:tc>
      </w:tr>
    </w:tbl>
    <w:p w:rsidR="005151C3" w:rsidRPr="005151C3" w:rsidRDefault="00F97DEC" w:rsidP="005151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05 май</w:t>
      </w:r>
      <w:r w:rsidR="005151C3" w:rsidRPr="005151C3">
        <w:rPr>
          <w:rFonts w:ascii="Times New Roman" w:eastAsia="Times New Roman" w:hAnsi="Times New Roman"/>
          <w:sz w:val="27"/>
          <w:szCs w:val="27"/>
          <w:lang w:eastAsia="ru-RU"/>
        </w:rPr>
        <w:t xml:space="preserve"> 2022 й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№ 21</w:t>
      </w:r>
      <w:r w:rsidR="005151C3" w:rsidRPr="005151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05 мая</w:t>
      </w:r>
      <w:r w:rsidR="005151C3" w:rsidRPr="005151C3">
        <w:rPr>
          <w:rFonts w:ascii="Times New Roman" w:eastAsia="Times New Roman" w:hAnsi="Times New Roman"/>
          <w:sz w:val="27"/>
          <w:szCs w:val="27"/>
          <w:lang w:eastAsia="ru-RU"/>
        </w:rPr>
        <w:t xml:space="preserve"> 2022 г.  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5151C3" w:rsidRPr="005151C3">
        <w:rPr>
          <w:rFonts w:ascii="Times New Roman" w:hAnsi="Times New Roman" w:cs="Times New Roman"/>
          <w:sz w:val="28"/>
          <w:szCs w:val="28"/>
        </w:rPr>
        <w:t xml:space="preserve"> </w:t>
      </w:r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r w:rsidR="005151C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151C3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F97D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276F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5276FB">
        <w:rPr>
          <w:rFonts w:ascii="Times New Roman" w:hAnsi="Times New Roman" w:cs="Times New Roman"/>
          <w:sz w:val="28"/>
          <w:szCs w:val="28"/>
        </w:rPr>
        <w:t>06.04.2022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CFB" w:rsidRPr="00ED5CFB" w:rsidRDefault="00ED5CFB" w:rsidP="00F97D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 w:rsidP="00F97D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F97DEC" w:rsidP="00F97D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F97DEC" w:rsidP="00F97D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Default="00C2452D" w:rsidP="00F97DEC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F97DE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3044" w:rsidRPr="00F97DEC">
        <w:rPr>
          <w:rFonts w:ascii="Times New Roman" w:hAnsi="Times New Roman" w:cs="Times New Roman"/>
          <w:sz w:val="28"/>
          <w:szCs w:val="28"/>
        </w:rPr>
        <w:t>.</w:t>
      </w:r>
    </w:p>
    <w:p w:rsidR="00F97DEC" w:rsidRDefault="00F97DEC" w:rsidP="005151C3">
      <w:pPr>
        <w:pStyle w:val="ConsPlusNormal"/>
        <w:tabs>
          <w:tab w:val="left" w:pos="65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97DEC" w:rsidRDefault="00F97DEC" w:rsidP="005151C3">
      <w:pPr>
        <w:pStyle w:val="ConsPlusNormal"/>
        <w:tabs>
          <w:tab w:val="left" w:pos="65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ED5CFB" w:rsidRPr="00ED5CFB" w:rsidRDefault="00ED5CFB" w:rsidP="005151C3">
      <w:pPr>
        <w:pStyle w:val="ConsPlusNormal"/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51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5151C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5151C3" w:rsidRPr="00ED5CFB" w:rsidRDefault="00515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51C3" w:rsidRP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5151C3">
        <w:rPr>
          <w:rFonts w:ascii="Times New Roman" w:hAnsi="Times New Roman" w:cs="Times New Roman"/>
          <w:sz w:val="28"/>
          <w:szCs w:val="28"/>
        </w:rPr>
        <w:t xml:space="preserve">05 мая 2022 года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151C3">
        <w:rPr>
          <w:rFonts w:ascii="Times New Roman" w:hAnsi="Times New Roman" w:cs="Times New Roman"/>
          <w:sz w:val="28"/>
          <w:szCs w:val="28"/>
        </w:rPr>
        <w:t>21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51C3">
        <w:rPr>
          <w:rFonts w:ascii="Times New Roman" w:hAnsi="Times New Roman" w:cs="Times New Roman"/>
          <w:sz w:val="28"/>
          <w:szCs w:val="28"/>
        </w:rPr>
        <w:t xml:space="preserve"> МЕСЯГУТОВСКИЙ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151C3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5151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51C3" w:rsidRP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51C3" w:rsidRPr="0051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5151C3">
        <w:rPr>
          <w:rFonts w:ascii="Times New Roman" w:hAnsi="Times New Roman" w:cs="Times New Roman"/>
          <w:sz w:val="28"/>
          <w:szCs w:val="28"/>
        </w:rPr>
        <w:t>глав</w:t>
      </w:r>
      <w:r w:rsidR="00B105AB" w:rsidRPr="005151C3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="00F77839" w:rsidRPr="00F77839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51C3" w:rsidRPr="00B105AB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F77839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77839" w:rsidRPr="00F7783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77839" w:rsidRPr="00F77839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8E59FF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C3044" w:rsidRPr="008E59F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304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5151C3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5151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51C3" w:rsidRP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151C3" w:rsidRPr="005151C3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5151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151C3" w:rsidRPr="005151C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C4199" w:rsidRPr="005151C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419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</w:t>
      </w:r>
      <w:r w:rsidR="001C4199" w:rsidRPr="001C4199">
        <w:rPr>
          <w:rFonts w:ascii="Times New Roman" w:hAnsi="Times New Roman" w:cs="Times New Roman"/>
          <w:sz w:val="28"/>
          <w:szCs w:val="28"/>
        </w:rPr>
        <w:lastRenderedPageBreak/>
        <w:t>"Интернет" (при наличии официального сайта) проект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5151C3">
        <w:rPr>
          <w:rFonts w:ascii="Times New Roman" w:hAnsi="Times New Roman" w:cs="Times New Roman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B67BDB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1C3" w:rsidRDefault="00515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1C3" w:rsidRDefault="00515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A00FF" w:rsidRDefault="00FA0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FA0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7BE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5151C3">
        <w:rPr>
          <w:rFonts w:ascii="Times New Roman" w:hAnsi="Times New Roman" w:cs="Times New Roman"/>
          <w:sz w:val="28"/>
          <w:szCs w:val="28"/>
        </w:rPr>
        <w:t xml:space="preserve">05 мая 2022 года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151C3">
        <w:rPr>
          <w:rFonts w:ascii="Times New Roman" w:hAnsi="Times New Roman" w:cs="Times New Roman"/>
          <w:sz w:val="28"/>
          <w:szCs w:val="28"/>
        </w:rPr>
        <w:t>21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B67BD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51C3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A00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FA00FF" w:rsidRDefault="005151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>глав</w:t>
      </w:r>
      <w:r w:rsidR="00B105AB" w:rsidRPr="00FA00FF">
        <w:rPr>
          <w:rFonts w:ascii="Times New Roman" w:hAnsi="Times New Roman" w:cs="Times New Roman"/>
          <w:sz w:val="28"/>
          <w:szCs w:val="28"/>
        </w:rPr>
        <w:t>а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A0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7A7" w:rsidRPr="00FA0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00FF" w:rsidRPr="00FA00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267A7" w:rsidRPr="00FA00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A00FF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5151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Назифовна</w:t>
      </w:r>
      <w:proofErr w:type="spellEnd"/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D86530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D865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653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86530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FA00FF" w:rsidRDefault="00FA00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Фирхатовна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bCs/>
          <w:sz w:val="28"/>
          <w:szCs w:val="28"/>
        </w:rPr>
        <w:t xml:space="preserve">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Pr="00FA00FF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Pr="00FA00FF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FA00FF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1094D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А. А.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25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Татышлинскому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00FF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инатовна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4E0625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градостроителсьтва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афитович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5CFB" w:rsidRPr="00E442F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1B09F2" w:rsidRPr="00E442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246B13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</w:t>
      </w:r>
      <w:r w:rsidR="004E0625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</w:t>
      </w:r>
      <w:r w:rsidR="00246B13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5151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6B13">
        <w:rPr>
          <w:rFonts w:ascii="Times New Roman" w:hAnsi="Times New Roman" w:cs="Times New Roman"/>
          <w:sz w:val="28"/>
          <w:szCs w:val="28"/>
        </w:rPr>
        <w:t xml:space="preserve">епутат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E73CB" w:rsidSect="00F97DE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25EB"/>
    <w:rsid w:val="00084E43"/>
    <w:rsid w:val="000E73CB"/>
    <w:rsid w:val="001605EB"/>
    <w:rsid w:val="001A2EF1"/>
    <w:rsid w:val="001B09F2"/>
    <w:rsid w:val="001C4199"/>
    <w:rsid w:val="002405EF"/>
    <w:rsid w:val="00246B13"/>
    <w:rsid w:val="00254B8B"/>
    <w:rsid w:val="00366A31"/>
    <w:rsid w:val="004D1F5F"/>
    <w:rsid w:val="004E0625"/>
    <w:rsid w:val="00501FF0"/>
    <w:rsid w:val="005151C3"/>
    <w:rsid w:val="005251FB"/>
    <w:rsid w:val="005276FB"/>
    <w:rsid w:val="005933A1"/>
    <w:rsid w:val="00627034"/>
    <w:rsid w:val="00664A46"/>
    <w:rsid w:val="00796FE2"/>
    <w:rsid w:val="008E59FF"/>
    <w:rsid w:val="0094036B"/>
    <w:rsid w:val="00A1094D"/>
    <w:rsid w:val="00A363B1"/>
    <w:rsid w:val="00B105AB"/>
    <w:rsid w:val="00B67BDB"/>
    <w:rsid w:val="00BE43C6"/>
    <w:rsid w:val="00BF69E9"/>
    <w:rsid w:val="00C2452D"/>
    <w:rsid w:val="00CE44B9"/>
    <w:rsid w:val="00D86530"/>
    <w:rsid w:val="00DB444A"/>
    <w:rsid w:val="00DC3044"/>
    <w:rsid w:val="00E35E19"/>
    <w:rsid w:val="00E442F2"/>
    <w:rsid w:val="00ED5CFB"/>
    <w:rsid w:val="00F267A7"/>
    <w:rsid w:val="00F467BE"/>
    <w:rsid w:val="00F77839"/>
    <w:rsid w:val="00F97DEC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348E-232A-4B2C-AB5E-01CDBDB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24</cp:revision>
  <cp:lastPrinted>2022-06-03T03:04:00Z</cp:lastPrinted>
  <dcterms:created xsi:type="dcterms:W3CDTF">2022-04-25T09:58:00Z</dcterms:created>
  <dcterms:modified xsi:type="dcterms:W3CDTF">2022-06-03T03:06:00Z</dcterms:modified>
</cp:coreProperties>
</file>